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E0" w:rsidRDefault="00522830" w:rsidP="00C66689">
      <w:pPr>
        <w:tabs>
          <w:tab w:val="center" w:pos="4153"/>
          <w:tab w:val="right" w:pos="8306"/>
        </w:tabs>
        <w:jc w:val="center"/>
        <w:rPr>
          <w:sz w:val="20"/>
        </w:rPr>
      </w:pPr>
      <w:r w:rsidRPr="00522830">
        <w:rPr>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fillcolor="window">
            <v:imagedata r:id="rId6" o:title=""/>
          </v:shape>
        </w:pict>
      </w:r>
    </w:p>
    <w:p w:rsidR="00641AE0" w:rsidRDefault="00C66689">
      <w:pPr>
        <w:keepNext/>
        <w:jc w:val="center"/>
        <w:rPr>
          <w:b/>
          <w:bCs/>
          <w:szCs w:val="24"/>
        </w:rPr>
      </w:pPr>
      <w:r>
        <w:rPr>
          <w:b/>
          <w:lang w:val="en-US"/>
        </w:rPr>
        <w:t>TELŠIŲ RAJONO SAVIVALDYBĖS TARYBA</w:t>
      </w:r>
    </w:p>
    <w:p w:rsidR="00641AE0" w:rsidRDefault="00641AE0">
      <w:pPr>
        <w:jc w:val="center"/>
        <w:rPr>
          <w:szCs w:val="24"/>
        </w:rPr>
      </w:pPr>
    </w:p>
    <w:p w:rsidR="00641AE0" w:rsidRDefault="00C66689">
      <w:pPr>
        <w:keepNext/>
        <w:jc w:val="center"/>
        <w:outlineLvl w:val="2"/>
        <w:rPr>
          <w:b/>
          <w:bCs/>
        </w:rPr>
      </w:pPr>
      <w:r>
        <w:rPr>
          <w:b/>
          <w:bCs/>
        </w:rPr>
        <w:t>SPRENDIMAS</w:t>
      </w:r>
    </w:p>
    <w:p w:rsidR="00C10CFE" w:rsidRDefault="00C10CFE" w:rsidP="00C10CFE">
      <w:pPr>
        <w:suppressAutoHyphens/>
        <w:jc w:val="center"/>
        <w:textAlignment w:val="baseline"/>
        <w:rPr>
          <w:b/>
          <w:szCs w:val="24"/>
        </w:rPr>
      </w:pPr>
      <w:r>
        <w:rPr>
          <w:b/>
          <w:szCs w:val="24"/>
        </w:rPr>
        <w:t>DĖL  TELŠIŲ RAJONO SAVIVALDYBĖS TARYBOS 2015 M. GRUODŽIO 28 D. SPRENDIMO NR. T1-360 „DĖL MOKESČIO UŽ VAIKŲ IŠLAIKYMĄ TELŠIŲ RAJONO SAVIVALDYBĖS UGDYMO ĮSTAIGOSE, ĮGYVENDINANČIOSE IKIMOKYKLINIO IR PRIEŠMOKYKLINIO UGDYMO PROGRAMAS, NUSTATYMO TVARKOS APRAŠO PATVIRTINIMO“ PAKEITIMO</w:t>
      </w:r>
    </w:p>
    <w:p w:rsidR="00641AE0" w:rsidRDefault="00641AE0">
      <w:pPr>
        <w:jc w:val="center"/>
        <w:rPr>
          <w:szCs w:val="24"/>
        </w:rPr>
      </w:pPr>
    </w:p>
    <w:p w:rsidR="00C66689" w:rsidRDefault="00B81196">
      <w:pPr>
        <w:jc w:val="center"/>
        <w:rPr>
          <w:bCs/>
          <w:szCs w:val="24"/>
        </w:rPr>
      </w:pPr>
      <w:r>
        <w:rPr>
          <w:bCs/>
          <w:szCs w:val="24"/>
        </w:rPr>
        <w:t>2020 m. kovo 26</w:t>
      </w:r>
      <w:r w:rsidR="00C66689">
        <w:rPr>
          <w:bCs/>
          <w:szCs w:val="24"/>
        </w:rPr>
        <w:t xml:space="preserve"> d. Nr. T1-</w:t>
      </w:r>
      <w:r w:rsidR="00CC4D72">
        <w:rPr>
          <w:bCs/>
          <w:szCs w:val="24"/>
        </w:rPr>
        <w:t>76</w:t>
      </w:r>
      <w:bookmarkStart w:id="0" w:name="_GoBack"/>
      <w:bookmarkEnd w:id="0"/>
    </w:p>
    <w:p w:rsidR="00C66689" w:rsidRDefault="00C66689">
      <w:pPr>
        <w:ind w:firstLine="62"/>
        <w:jc w:val="center"/>
        <w:rPr>
          <w:bCs/>
          <w:szCs w:val="24"/>
        </w:rPr>
      </w:pPr>
      <w:r>
        <w:rPr>
          <w:bCs/>
          <w:szCs w:val="24"/>
        </w:rPr>
        <w:t>Telšiai </w:t>
      </w:r>
    </w:p>
    <w:p w:rsidR="00641AE0" w:rsidRDefault="00641AE0">
      <w:pPr>
        <w:jc w:val="center"/>
        <w:rPr>
          <w:szCs w:val="24"/>
        </w:rPr>
      </w:pPr>
    </w:p>
    <w:p w:rsidR="00641AE0" w:rsidRDefault="00641AE0">
      <w:pPr>
        <w:jc w:val="center"/>
        <w:rPr>
          <w:szCs w:val="24"/>
        </w:rPr>
      </w:pPr>
    </w:p>
    <w:p w:rsidR="00641AE0" w:rsidRDefault="00C66689">
      <w:pPr>
        <w:ind w:firstLine="720"/>
        <w:jc w:val="both"/>
        <w:rPr>
          <w:szCs w:val="24"/>
        </w:rPr>
      </w:pPr>
      <w:r>
        <w:rPr>
          <w:szCs w:val="24"/>
        </w:rPr>
        <w:t>Telšių rajono savivaldybės taryba  n u s p r e n d ž i a:</w:t>
      </w:r>
    </w:p>
    <w:p w:rsidR="00641AE0" w:rsidRDefault="007C788C">
      <w:pPr>
        <w:ind w:firstLine="720"/>
        <w:jc w:val="both"/>
        <w:rPr>
          <w:szCs w:val="24"/>
        </w:rPr>
      </w:pPr>
      <w:r>
        <w:rPr>
          <w:szCs w:val="24"/>
        </w:rPr>
        <w:t xml:space="preserve">1. </w:t>
      </w:r>
      <w:r w:rsidR="00C10CFE">
        <w:rPr>
          <w:szCs w:val="24"/>
        </w:rPr>
        <w:t>Pakeisti Mokesčio už vaikų išlaikymą Telšių rajono savivaldybės ugdymo įstaigose, įgyvendinančiose ikimokyklinio ir priešmokyklinio ugdymo programas, nustatymo tvarkos aprašą, patvirtintą Telšių rajono savivaldybės tarybos 2015 m. gruodžio 28 d. sprendimu Nr. T1–360 „Dėl mokesčio už vaikų išlaikymą Telšių rajono savivaldybės ugdymo įstaigose, įgyvendinančiose ikimokyklinio ir priešmokyklinio ugdymo programas, nustaty</w:t>
      </w:r>
      <w:r w:rsidR="00400891">
        <w:rPr>
          <w:szCs w:val="24"/>
        </w:rPr>
        <w:t>mo tvarkos aprašo patvirtinimo“, ir</w:t>
      </w:r>
      <w:r w:rsidR="00C10CFE">
        <w:rPr>
          <w:szCs w:val="24"/>
        </w:rPr>
        <w:t xml:space="preserve"> </w:t>
      </w:r>
      <w:r w:rsidR="00400891">
        <w:rPr>
          <w:szCs w:val="24"/>
        </w:rPr>
        <w:t>6.2 papunktį</w:t>
      </w:r>
      <w:r w:rsidR="00C10CFE">
        <w:rPr>
          <w:szCs w:val="24"/>
        </w:rPr>
        <w:t xml:space="preserve"> išdėstyti taip:</w:t>
      </w:r>
    </w:p>
    <w:p w:rsidR="00C10CFE" w:rsidRDefault="00C10CFE" w:rsidP="00C10CFE">
      <w:pPr>
        <w:suppressAutoHyphens/>
        <w:ind w:firstLine="720"/>
        <w:jc w:val="both"/>
        <w:textAlignment w:val="baseline"/>
      </w:pPr>
      <w:r>
        <w:rPr>
          <w:szCs w:val="24"/>
        </w:rPr>
        <w:t>„6.2</w:t>
      </w:r>
      <w:r>
        <w:rPr>
          <w:b/>
          <w:szCs w:val="24"/>
        </w:rPr>
        <w:t xml:space="preserve">. </w:t>
      </w:r>
      <w:r>
        <w:rPr>
          <w:szCs w:val="24"/>
        </w:rPr>
        <w:t xml:space="preserve">tėvų mėnesinis mokestis įstaigos ugdymo aplinkai išlaikyti – </w:t>
      </w:r>
      <w:r w:rsidR="00400891">
        <w:rPr>
          <w:szCs w:val="24"/>
        </w:rPr>
        <w:t>5,50</w:t>
      </w:r>
      <w:r>
        <w:rPr>
          <w:szCs w:val="24"/>
        </w:rPr>
        <w:t xml:space="preserve"> </w:t>
      </w:r>
      <w:proofErr w:type="spellStart"/>
      <w:r>
        <w:rPr>
          <w:szCs w:val="24"/>
        </w:rPr>
        <w:t>Eur</w:t>
      </w:r>
      <w:proofErr w:type="spellEnd"/>
      <w:r>
        <w:rPr>
          <w:szCs w:val="24"/>
        </w:rPr>
        <w:t>. Mokestis netaikomas valstybinio lygio ekstremalių situacijų metu.“</w:t>
      </w:r>
    </w:p>
    <w:p w:rsidR="00641AE0" w:rsidRDefault="00641AE0">
      <w:pPr>
        <w:ind w:firstLine="720"/>
        <w:jc w:val="both"/>
        <w:rPr>
          <w:szCs w:val="24"/>
        </w:rPr>
      </w:pPr>
    </w:p>
    <w:p w:rsidR="00641AE0" w:rsidRDefault="00641AE0">
      <w:pPr>
        <w:jc w:val="both"/>
        <w:rPr>
          <w:szCs w:val="24"/>
        </w:rPr>
      </w:pPr>
    </w:p>
    <w:p w:rsidR="00641AE0" w:rsidRDefault="00641AE0">
      <w:pPr>
        <w:jc w:val="both"/>
        <w:rPr>
          <w:szCs w:val="24"/>
        </w:rPr>
      </w:pPr>
    </w:p>
    <w:p w:rsidR="00641AE0" w:rsidRDefault="00C66689" w:rsidP="00C66689">
      <w:pPr>
        <w:tabs>
          <w:tab w:val="left" w:pos="7655"/>
        </w:tabs>
        <w:jc w:val="both"/>
        <w:rPr>
          <w:szCs w:val="24"/>
        </w:rPr>
      </w:pPr>
      <w:r>
        <w:rPr>
          <w:szCs w:val="24"/>
        </w:rPr>
        <w:t>Sa</w:t>
      </w:r>
      <w:r w:rsidR="00864ECF">
        <w:rPr>
          <w:szCs w:val="24"/>
        </w:rPr>
        <w:t>vivaldybės meras</w:t>
      </w:r>
      <w:r w:rsidR="00864ECF">
        <w:rPr>
          <w:szCs w:val="24"/>
        </w:rPr>
        <w:tab/>
        <w:t xml:space="preserve">Kęstutis </w:t>
      </w:r>
      <w:proofErr w:type="spellStart"/>
      <w:r w:rsidR="00864ECF">
        <w:rPr>
          <w:szCs w:val="24"/>
        </w:rPr>
        <w:t>Gusarovas</w:t>
      </w:r>
      <w:proofErr w:type="spellEnd"/>
    </w:p>
    <w:p w:rsidR="00D41CBF" w:rsidRDefault="00D41CBF" w:rsidP="00C66689">
      <w:pPr>
        <w:tabs>
          <w:tab w:val="left" w:pos="7655"/>
        </w:tabs>
        <w:jc w:val="both"/>
        <w:rPr>
          <w:szCs w:val="24"/>
        </w:rPr>
      </w:pPr>
    </w:p>
    <w:p w:rsidR="00D41CBF" w:rsidRDefault="00D41CBF" w:rsidP="00C66689">
      <w:pPr>
        <w:tabs>
          <w:tab w:val="left" w:pos="7655"/>
        </w:tabs>
        <w:jc w:val="both"/>
        <w:rPr>
          <w:szCs w:val="24"/>
        </w:rPr>
      </w:pPr>
    </w:p>
    <w:p w:rsidR="00D41CBF" w:rsidRDefault="00D41CBF" w:rsidP="00C66689">
      <w:pPr>
        <w:tabs>
          <w:tab w:val="left" w:pos="7655"/>
        </w:tabs>
        <w:jc w:val="both"/>
        <w:rPr>
          <w:szCs w:val="24"/>
        </w:rPr>
      </w:pPr>
    </w:p>
    <w:p w:rsidR="00D41CBF" w:rsidRDefault="00D41CBF" w:rsidP="00C66689">
      <w:pPr>
        <w:tabs>
          <w:tab w:val="left" w:pos="7655"/>
        </w:tabs>
        <w:jc w:val="both"/>
        <w:rPr>
          <w:szCs w:val="24"/>
        </w:rPr>
      </w:pPr>
    </w:p>
    <w:p w:rsidR="00D41CBF" w:rsidRDefault="00D41CBF" w:rsidP="00C66689">
      <w:pPr>
        <w:tabs>
          <w:tab w:val="left" w:pos="7655"/>
        </w:tabs>
        <w:jc w:val="both"/>
        <w:rPr>
          <w:szCs w:val="24"/>
        </w:rPr>
      </w:pPr>
    </w:p>
    <w:p w:rsidR="00D41CBF" w:rsidRDefault="00D41CBF" w:rsidP="00C66689">
      <w:pPr>
        <w:tabs>
          <w:tab w:val="left" w:pos="7655"/>
        </w:tabs>
        <w:jc w:val="both"/>
        <w:rPr>
          <w:szCs w:val="24"/>
        </w:rPr>
      </w:pPr>
    </w:p>
    <w:p w:rsidR="00371242" w:rsidRDefault="00371242" w:rsidP="00C66689">
      <w:pPr>
        <w:tabs>
          <w:tab w:val="left" w:pos="7655"/>
        </w:tabs>
        <w:jc w:val="both"/>
        <w:rPr>
          <w:szCs w:val="24"/>
        </w:rPr>
      </w:pPr>
    </w:p>
    <w:p w:rsidR="00D41CBF" w:rsidRDefault="00D41CBF"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C10CFE" w:rsidRDefault="00C10CFE" w:rsidP="00C66689">
      <w:pPr>
        <w:tabs>
          <w:tab w:val="left" w:pos="7655"/>
        </w:tabs>
        <w:jc w:val="both"/>
        <w:rPr>
          <w:szCs w:val="24"/>
        </w:rPr>
      </w:pPr>
    </w:p>
    <w:p w:rsidR="00D41CBF" w:rsidRDefault="00D41CBF" w:rsidP="00C66689">
      <w:pPr>
        <w:tabs>
          <w:tab w:val="left" w:pos="7655"/>
        </w:tabs>
        <w:jc w:val="both"/>
        <w:rPr>
          <w:szCs w:val="24"/>
        </w:rPr>
      </w:pPr>
    </w:p>
    <w:bookmarkStart w:id="1" w:name="Tekstas3"/>
    <w:p w:rsidR="00D41CBF" w:rsidRPr="003A1C95" w:rsidRDefault="00522830" w:rsidP="00D41CBF">
      <w:pPr>
        <w:pStyle w:val="Antrats"/>
        <w:tabs>
          <w:tab w:val="clear" w:pos="4153"/>
          <w:tab w:val="clear" w:pos="8306"/>
        </w:tabs>
        <w:rPr>
          <w:lang w:val="lt-LT"/>
        </w:rPr>
      </w:pPr>
      <w:r w:rsidRPr="003A1C95">
        <w:rPr>
          <w:lang w:val="lt-LT"/>
        </w:rPr>
        <w:fldChar w:fldCharType="begin">
          <w:ffData>
            <w:name w:val="Tekstas3"/>
            <w:enabled/>
            <w:calcOnExit w:val="0"/>
            <w:textInput/>
          </w:ffData>
        </w:fldChar>
      </w:r>
      <w:r w:rsidR="00D41CBF" w:rsidRPr="003A1C95">
        <w:rPr>
          <w:lang w:val="lt-LT"/>
        </w:rPr>
        <w:instrText xml:space="preserve"> FORMTEXT </w:instrText>
      </w:r>
      <w:r w:rsidRPr="003A1C95">
        <w:rPr>
          <w:lang w:val="lt-LT"/>
        </w:rPr>
      </w:r>
      <w:r w:rsidRPr="003A1C95">
        <w:rPr>
          <w:lang w:val="lt-LT"/>
        </w:rPr>
        <w:fldChar w:fldCharType="separate"/>
      </w:r>
      <w:r w:rsidR="00D41CBF">
        <w:rPr>
          <w:noProof/>
          <w:lang w:val="lt-LT"/>
        </w:rPr>
        <w:t>Gediminas Gudas</w:t>
      </w:r>
      <w:r w:rsidR="00D41CBF" w:rsidRPr="003A1C95">
        <w:rPr>
          <w:noProof/>
          <w:lang w:val="lt-LT"/>
        </w:rPr>
        <w:t xml:space="preserve">, tel. (8 444)  </w:t>
      </w:r>
      <w:r w:rsidR="00D41CBF">
        <w:rPr>
          <w:noProof/>
          <w:lang w:val="lt-LT"/>
        </w:rPr>
        <w:t>6</w:t>
      </w:r>
      <w:r w:rsidR="00D41CBF" w:rsidRPr="003A1C95">
        <w:rPr>
          <w:noProof/>
          <w:lang w:val="lt-LT"/>
        </w:rPr>
        <w:t xml:space="preserve">0 </w:t>
      </w:r>
      <w:r w:rsidR="00D41CBF">
        <w:rPr>
          <w:noProof/>
          <w:lang w:val="lt-LT"/>
        </w:rPr>
        <w:t>205, el. p. gediminas.gudas@telsiai.lt</w:t>
      </w:r>
      <w:r w:rsidR="00D41CBF" w:rsidRPr="003A1C95">
        <w:rPr>
          <w:noProof/>
          <w:lang w:val="lt-LT"/>
        </w:rPr>
        <w:t> </w:t>
      </w:r>
      <w:r w:rsidRPr="003A1C95">
        <w:rPr>
          <w:lang w:val="lt-LT"/>
        </w:rPr>
        <w:fldChar w:fldCharType="end"/>
      </w:r>
      <w:bookmarkEnd w:id="1"/>
    </w:p>
    <w:sectPr w:rsidR="00D41CBF" w:rsidRPr="003A1C95" w:rsidSect="00C66689">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DE" w:rsidRDefault="003A5CDE">
      <w:pPr>
        <w:rPr>
          <w:szCs w:val="24"/>
        </w:rPr>
      </w:pPr>
      <w:r>
        <w:rPr>
          <w:szCs w:val="24"/>
        </w:rPr>
        <w:separator/>
      </w:r>
    </w:p>
  </w:endnote>
  <w:endnote w:type="continuationSeparator" w:id="0">
    <w:p w:rsidR="003A5CDE" w:rsidRDefault="003A5CD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0" w:rsidRDefault="00641AE0">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0" w:rsidRDefault="00641AE0">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0" w:rsidRDefault="00641AE0">
    <w:pPr>
      <w:tabs>
        <w:tab w:val="center" w:pos="4153"/>
        <w:tab w:val="right" w:pos="8306"/>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DE" w:rsidRDefault="003A5CDE">
      <w:pPr>
        <w:rPr>
          <w:szCs w:val="24"/>
        </w:rPr>
      </w:pPr>
      <w:r>
        <w:rPr>
          <w:szCs w:val="24"/>
        </w:rPr>
        <w:separator/>
      </w:r>
    </w:p>
  </w:footnote>
  <w:footnote w:type="continuationSeparator" w:id="0">
    <w:p w:rsidR="003A5CDE" w:rsidRDefault="003A5CD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0" w:rsidRDefault="00522830">
    <w:pPr>
      <w:framePr w:wrap="auto" w:vAnchor="text" w:hAnchor="margin" w:xAlign="center" w:y="1"/>
      <w:tabs>
        <w:tab w:val="center" w:pos="4153"/>
        <w:tab w:val="right" w:pos="8306"/>
      </w:tabs>
      <w:spacing w:after="160" w:line="259" w:lineRule="auto"/>
      <w:rPr>
        <w:sz w:val="20"/>
        <w:lang w:val="en-GB"/>
      </w:rPr>
    </w:pPr>
    <w:r>
      <w:rPr>
        <w:sz w:val="20"/>
        <w:lang w:val="en-GB"/>
      </w:rPr>
      <w:fldChar w:fldCharType="begin"/>
    </w:r>
    <w:r w:rsidR="00C66689">
      <w:rPr>
        <w:sz w:val="20"/>
        <w:lang w:val="en-GB"/>
      </w:rPr>
      <w:instrText xml:space="preserve">PAGE  </w:instrText>
    </w:r>
    <w:r>
      <w:rPr>
        <w:sz w:val="20"/>
        <w:lang w:val="en-GB"/>
      </w:rPr>
      <w:fldChar w:fldCharType="end"/>
    </w:r>
  </w:p>
  <w:p w:rsidR="00641AE0" w:rsidRDefault="00641AE0">
    <w:pPr>
      <w:tabs>
        <w:tab w:val="center" w:pos="4153"/>
        <w:tab w:val="right" w:pos="8306"/>
      </w:tabs>
      <w:spacing w:after="160" w:line="259" w:lineRule="auto"/>
      <w:rPr>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0" w:rsidRDefault="00522830">
    <w:pPr>
      <w:framePr w:wrap="auto" w:vAnchor="text" w:hAnchor="margin" w:xAlign="center" w:y="1"/>
      <w:tabs>
        <w:tab w:val="center" w:pos="4153"/>
        <w:tab w:val="right" w:pos="8306"/>
      </w:tabs>
      <w:spacing w:after="160" w:line="259" w:lineRule="auto"/>
      <w:rPr>
        <w:sz w:val="20"/>
        <w:lang w:val="en-GB"/>
      </w:rPr>
    </w:pPr>
    <w:r>
      <w:rPr>
        <w:sz w:val="20"/>
        <w:lang w:val="en-GB"/>
      </w:rPr>
      <w:fldChar w:fldCharType="begin"/>
    </w:r>
    <w:r w:rsidR="00C66689">
      <w:rPr>
        <w:sz w:val="20"/>
        <w:lang w:val="en-GB"/>
      </w:rPr>
      <w:instrText xml:space="preserve">PAGE  </w:instrText>
    </w:r>
    <w:r>
      <w:rPr>
        <w:sz w:val="20"/>
        <w:lang w:val="en-GB"/>
      </w:rPr>
      <w:fldChar w:fldCharType="separate"/>
    </w:r>
    <w:r w:rsidR="00C10CFE">
      <w:rPr>
        <w:noProof/>
        <w:sz w:val="20"/>
        <w:lang w:val="en-GB"/>
      </w:rPr>
      <w:t>2</w:t>
    </w:r>
    <w:r>
      <w:rPr>
        <w:sz w:val="20"/>
        <w:lang w:val="en-GB"/>
      </w:rPr>
      <w:fldChar w:fldCharType="end"/>
    </w:r>
  </w:p>
  <w:p w:rsidR="00641AE0" w:rsidRDefault="00641AE0">
    <w:pPr>
      <w:tabs>
        <w:tab w:val="center" w:pos="4153"/>
        <w:tab w:val="right" w:pos="8306"/>
      </w:tabs>
      <w:spacing w:after="160" w:line="259" w:lineRule="auto"/>
      <w:rPr>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E0" w:rsidRDefault="00641AE0">
    <w:pPr>
      <w:tabs>
        <w:tab w:val="center" w:pos="4153"/>
        <w:tab w:val="right" w:pos="8306"/>
      </w:tabs>
      <w:spacing w:after="160" w:line="259" w:lineRule="auto"/>
      <w:rPr>
        <w:sz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rsids>
    <w:rsidRoot w:val="00A45373"/>
    <w:rsid w:val="00013609"/>
    <w:rsid w:val="0002728C"/>
    <w:rsid w:val="00091DF0"/>
    <w:rsid w:val="000D532D"/>
    <w:rsid w:val="00126E42"/>
    <w:rsid w:val="00131650"/>
    <w:rsid w:val="001A0C9E"/>
    <w:rsid w:val="002F3643"/>
    <w:rsid w:val="00371242"/>
    <w:rsid w:val="00374045"/>
    <w:rsid w:val="00391571"/>
    <w:rsid w:val="003A5CDE"/>
    <w:rsid w:val="003E4E92"/>
    <w:rsid w:val="00400891"/>
    <w:rsid w:val="0045235C"/>
    <w:rsid w:val="00522830"/>
    <w:rsid w:val="00637B4B"/>
    <w:rsid w:val="00641AE0"/>
    <w:rsid w:val="006D391D"/>
    <w:rsid w:val="00735F12"/>
    <w:rsid w:val="00772C99"/>
    <w:rsid w:val="00786085"/>
    <w:rsid w:val="007C788C"/>
    <w:rsid w:val="00864ECF"/>
    <w:rsid w:val="0099245A"/>
    <w:rsid w:val="009C350D"/>
    <w:rsid w:val="00A41E3B"/>
    <w:rsid w:val="00A45373"/>
    <w:rsid w:val="00B81196"/>
    <w:rsid w:val="00C10CFE"/>
    <w:rsid w:val="00C66689"/>
    <w:rsid w:val="00CC4D72"/>
    <w:rsid w:val="00CE0CD9"/>
    <w:rsid w:val="00D41CBF"/>
    <w:rsid w:val="00E00B32"/>
    <w:rsid w:val="00EC084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5228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6689"/>
    <w:rPr>
      <w:color w:val="808080"/>
    </w:rPr>
  </w:style>
  <w:style w:type="paragraph" w:styleId="Antrats">
    <w:name w:val="header"/>
    <w:basedOn w:val="prastasis"/>
    <w:link w:val="AntratsDiagrama"/>
    <w:uiPriority w:val="99"/>
    <w:rsid w:val="00D41CBF"/>
    <w:pPr>
      <w:tabs>
        <w:tab w:val="center" w:pos="4153"/>
        <w:tab w:val="right" w:pos="8306"/>
      </w:tabs>
    </w:pPr>
    <w:rPr>
      <w:szCs w:val="24"/>
      <w:lang w:val="en-GB"/>
    </w:rPr>
  </w:style>
  <w:style w:type="character" w:customStyle="1" w:styleId="AntratsDiagrama">
    <w:name w:val="Antraštės Diagrama"/>
    <w:basedOn w:val="Numatytasispastraiposriftas"/>
    <w:link w:val="Antrats"/>
    <w:uiPriority w:val="99"/>
    <w:rsid w:val="00D41CBF"/>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6689"/>
    <w:rPr>
      <w:color w:val="808080"/>
    </w:rPr>
  </w:style>
  <w:style w:type="paragraph" w:styleId="Antrats">
    <w:name w:val="header"/>
    <w:basedOn w:val="prastasis"/>
    <w:link w:val="AntratsDiagrama"/>
    <w:uiPriority w:val="99"/>
    <w:rsid w:val="00D41CBF"/>
    <w:pPr>
      <w:tabs>
        <w:tab w:val="center" w:pos="4153"/>
        <w:tab w:val="right" w:pos="8306"/>
      </w:tabs>
    </w:pPr>
    <w:rPr>
      <w:szCs w:val="24"/>
      <w:lang w:val="en-GB"/>
    </w:rPr>
  </w:style>
  <w:style w:type="character" w:customStyle="1" w:styleId="AntratsDiagrama">
    <w:name w:val="Antraštės Diagrama"/>
    <w:basedOn w:val="Numatytasispastraiposriftas"/>
    <w:link w:val="Antrats"/>
    <w:uiPriority w:val="99"/>
    <w:rsid w:val="00D41CBF"/>
    <w:rPr>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1054</Characters>
  <Application>Microsoft Office Word</Application>
  <DocSecurity>0</DocSecurity>
  <Lines>8</Lines>
  <Paragraphs>2</Paragraphs>
  <ScaleCrop>false</ScaleCrop>
  <HeadingPairs>
    <vt:vector size="2" baseType="variant">
      <vt:variant>
        <vt:lpstr>Pavadinimas</vt:lpstr>
      </vt:variant>
      <vt:variant>
        <vt:i4>1</vt:i4>
      </vt:variant>
    </vt:vector>
  </HeadingPairs>
  <TitlesOfParts>
    <vt:vector size="1" baseType="lpstr">
      <vt:lpstr>Dokumentų tvarkymo Telšių apskrities</vt:lpstr>
    </vt:vector>
  </TitlesOfParts>
  <Company>TAVMI</Company>
  <LinksUpToDate>false</LinksUpToDate>
  <CharactersWithSpaces>1204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Dokumentų tvarkymo Telšių apskrities</dc:title>
  <dc:creator>S.Jackus</dc:creator>
  <cp:lastModifiedBy>Rosita</cp:lastModifiedBy>
  <cp:revision>2</cp:revision>
  <cp:lastPrinted>2020-03-25T12:34:00Z</cp:lastPrinted>
  <dcterms:created xsi:type="dcterms:W3CDTF">2020-03-30T07:01:00Z</dcterms:created>
  <dcterms:modified xsi:type="dcterms:W3CDTF">2020-03-30T07:01:00Z</dcterms:modified>
</cp:coreProperties>
</file>